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0185" w14:textId="7EF31E32" w:rsidR="004E7AF7" w:rsidRPr="004E7AF7" w:rsidRDefault="004E7AF7" w:rsidP="004E7AF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fldChar w:fldCharType="begin"/>
      </w:r>
      <w:r>
        <w:rPr>
          <w:b/>
          <w:bCs/>
          <w:sz w:val="32"/>
          <w:szCs w:val="32"/>
        </w:rPr>
        <w:instrText>HYPERLINK "https://www.skcltd.com/calibration.html"</w:instrTex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  <w:fldChar w:fldCharType="separate"/>
      </w:r>
      <w:r w:rsidRPr="004E7AF7">
        <w:rPr>
          <w:rStyle w:val="Hyperlink"/>
          <w:b/>
          <w:bCs/>
          <w:sz w:val="32"/>
          <w:szCs w:val="32"/>
        </w:rPr>
        <w:t>Calibration</w:t>
      </w:r>
      <w:r>
        <w:rPr>
          <w:b/>
          <w:bCs/>
          <w:sz w:val="32"/>
          <w:szCs w:val="32"/>
        </w:rPr>
        <w:fldChar w:fldCharType="end"/>
      </w:r>
    </w:p>
    <w:p w14:paraId="1F4F1CB1" w14:textId="7B019A94" w:rsidR="004E7AF7" w:rsidRPr="004E7AF7" w:rsidRDefault="004E7AF7" w:rsidP="004E7AF7">
      <w:r w:rsidRPr="004E7AF7">
        <w:t xml:space="preserve">In the case of air sampling calibration is the setting of the air flow through the </w:t>
      </w:r>
      <w:r w:rsidR="003A5B4C">
        <w:t>sample</w:t>
      </w:r>
      <w:r w:rsidRPr="004E7AF7">
        <w:t xml:space="preserve"> medium to the recommended level for the method being used. The flow should be checked before and after each sample. SKC offers a range of calibration equipment, and the choice of which calibrator depends on:</w:t>
      </w:r>
    </w:p>
    <w:p w14:paraId="390C6FD1" w14:textId="77777777" w:rsidR="004E7AF7" w:rsidRPr="004E7AF7" w:rsidRDefault="004E7AF7" w:rsidP="004E7AF7">
      <w:pPr>
        <w:numPr>
          <w:ilvl w:val="0"/>
          <w:numId w:val="1"/>
        </w:numPr>
      </w:pPr>
      <w:r w:rsidRPr="004E7AF7">
        <w:t>Available budget</w:t>
      </w:r>
    </w:p>
    <w:p w14:paraId="2D2A83A3" w14:textId="77777777" w:rsidR="004E7AF7" w:rsidRPr="004E7AF7" w:rsidRDefault="004E7AF7" w:rsidP="004E7AF7">
      <w:pPr>
        <w:numPr>
          <w:ilvl w:val="0"/>
          <w:numId w:val="1"/>
        </w:numPr>
      </w:pPr>
      <w:r w:rsidRPr="004E7AF7">
        <w:t>Accuracy required by the method</w:t>
      </w:r>
    </w:p>
    <w:p w14:paraId="5308CE78" w14:textId="45D47FCE" w:rsidR="004E7AF7" w:rsidRPr="004E7AF7" w:rsidRDefault="004E7AF7" w:rsidP="004E7AF7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4A1B54" wp14:editId="7E3CB3F2">
            <wp:simplePos x="0" y="0"/>
            <wp:positionH relativeFrom="column">
              <wp:posOffset>3177540</wp:posOffset>
            </wp:positionH>
            <wp:positionV relativeFrom="paragraph">
              <wp:posOffset>111760</wp:posOffset>
            </wp:positionV>
            <wp:extent cx="2583180" cy="2583180"/>
            <wp:effectExtent l="0" t="0" r="0" b="0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442847606" name="Picture 1" descr="A hand holding a blue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47606" name="Picture 1" descr="A hand holding a blue devi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AF7">
        <w:t>Ease of use</w:t>
      </w:r>
    </w:p>
    <w:p w14:paraId="13E5ABA9" w14:textId="121FCBA7" w:rsidR="004E7AF7" w:rsidRPr="004E7AF7" w:rsidRDefault="004E7AF7" w:rsidP="004E7AF7">
      <w:pPr>
        <w:numPr>
          <w:ilvl w:val="0"/>
          <w:numId w:val="1"/>
        </w:numPr>
      </w:pPr>
      <w:r w:rsidRPr="004E7AF7">
        <w:t>Fit for purpose</w:t>
      </w:r>
      <w:r>
        <w:br/>
      </w:r>
    </w:p>
    <w:p w14:paraId="7B7AF238" w14:textId="294B12DE" w:rsidR="004E7AF7" w:rsidRPr="003C1AF8" w:rsidRDefault="004E7AF7" w:rsidP="004E7AF7">
      <w:pPr>
        <w:rPr>
          <w:b/>
          <w:bCs/>
          <w:sz w:val="32"/>
          <w:szCs w:val="32"/>
        </w:rPr>
      </w:pPr>
      <w:hyperlink r:id="rId6" w:history="1">
        <w:r w:rsidRPr="003C1AF8">
          <w:rPr>
            <w:rStyle w:val="Hyperlink"/>
            <w:b/>
            <w:bCs/>
            <w:sz w:val="32"/>
            <w:szCs w:val="32"/>
          </w:rPr>
          <w:t>chek-mate Flowmeter</w:t>
        </w:r>
      </w:hyperlink>
    </w:p>
    <w:p w14:paraId="75F241B7" w14:textId="71E669CB" w:rsidR="006F639F" w:rsidRDefault="004E7AF7" w:rsidP="004E7AF7">
      <w:r>
        <w:t xml:space="preserve">The SKC chek-mate Flowmeter is our easy-to-use differential pressure flowmeter for calibrating air flow sample pumps at flow ranges between </w:t>
      </w:r>
      <w:r w:rsidR="003C1AF8">
        <w:br/>
      </w:r>
      <w:r>
        <w:t>0.50-5.0 L/min, 20-500 ml/min and 5.0-30.0 L/min. The chek-mate meets the accuracy requirements of MDHS 14/4, and other HSE sampling methods.</w:t>
      </w:r>
    </w:p>
    <w:p w14:paraId="39B0DDAE" w14:textId="1F561E48" w:rsidR="004E7AF7" w:rsidRDefault="004E7AF7" w:rsidP="004E7AF7"/>
    <w:p w14:paraId="2F9172B3" w14:textId="77777777" w:rsidR="004E7AF7" w:rsidRPr="004E7AF7" w:rsidRDefault="004E7AF7" w:rsidP="004E7AF7">
      <w:pPr>
        <w:numPr>
          <w:ilvl w:val="0"/>
          <w:numId w:val="2"/>
        </w:numPr>
      </w:pPr>
      <w:r w:rsidRPr="004E7AF7">
        <w:t>No moving parts</w:t>
      </w:r>
    </w:p>
    <w:p w14:paraId="79EA1BF5" w14:textId="77777777" w:rsidR="004E7AF7" w:rsidRPr="004E7AF7" w:rsidRDefault="004E7AF7" w:rsidP="004E7AF7">
      <w:pPr>
        <w:numPr>
          <w:ilvl w:val="0"/>
          <w:numId w:val="2"/>
        </w:numPr>
      </w:pPr>
      <w:r w:rsidRPr="004E7AF7">
        <w:t>Can be used in any orientation</w:t>
      </w:r>
    </w:p>
    <w:p w14:paraId="253F8B87" w14:textId="77777777" w:rsidR="004E7AF7" w:rsidRPr="004E7AF7" w:rsidRDefault="004E7AF7" w:rsidP="004E7AF7">
      <w:pPr>
        <w:numPr>
          <w:ilvl w:val="0"/>
          <w:numId w:val="2"/>
        </w:numPr>
      </w:pPr>
      <w:r w:rsidRPr="004E7AF7">
        <w:t>Built-in temperature and atmospheric pressure compensation</w:t>
      </w:r>
    </w:p>
    <w:p w14:paraId="11D887E6" w14:textId="77777777" w:rsidR="004E7AF7" w:rsidRPr="004E7AF7" w:rsidRDefault="004E7AF7" w:rsidP="004E7AF7">
      <w:pPr>
        <w:numPr>
          <w:ilvl w:val="0"/>
          <w:numId w:val="2"/>
        </w:numPr>
      </w:pPr>
      <w:r w:rsidRPr="004E7AF7">
        <w:t>Short stabilisation time</w:t>
      </w:r>
    </w:p>
    <w:p w14:paraId="3AE22B77" w14:textId="77777777" w:rsidR="004E7AF7" w:rsidRPr="004E7AF7" w:rsidRDefault="004E7AF7" w:rsidP="004E7AF7">
      <w:pPr>
        <w:numPr>
          <w:ilvl w:val="0"/>
          <w:numId w:val="2"/>
        </w:numPr>
      </w:pPr>
      <w:r w:rsidRPr="004E7AF7">
        <w:t xml:space="preserve">Accuracy to 1% over </w:t>
      </w:r>
      <w:proofErr w:type="gramStart"/>
      <w:r w:rsidRPr="004E7AF7">
        <w:t>the vast majority of</w:t>
      </w:r>
      <w:proofErr w:type="gramEnd"/>
      <w:r w:rsidRPr="004E7AF7">
        <w:t xml:space="preserve"> the measuring range</w:t>
      </w:r>
    </w:p>
    <w:p w14:paraId="11AA54D1" w14:textId="77777777" w:rsidR="004E7AF7" w:rsidRPr="004E7AF7" w:rsidRDefault="004E7AF7" w:rsidP="004E7AF7">
      <w:pPr>
        <w:numPr>
          <w:ilvl w:val="0"/>
          <w:numId w:val="2"/>
        </w:numPr>
      </w:pPr>
      <w:r w:rsidRPr="004E7AF7">
        <w:t>Auto-shutoff to conserve battery</w:t>
      </w:r>
    </w:p>
    <w:p w14:paraId="4E848E92" w14:textId="77777777" w:rsidR="004E7AF7" w:rsidRPr="004E7AF7" w:rsidRDefault="004E7AF7" w:rsidP="004E7AF7">
      <w:pPr>
        <w:numPr>
          <w:ilvl w:val="0"/>
          <w:numId w:val="2"/>
        </w:numPr>
      </w:pPr>
      <w:r w:rsidRPr="004E7AF7">
        <w:t>Compact, portable and lightweight</w:t>
      </w:r>
    </w:p>
    <w:p w14:paraId="4E5E5D2A" w14:textId="77777777" w:rsidR="004E7AF7" w:rsidRPr="004E7AF7" w:rsidRDefault="004E7AF7" w:rsidP="004E7AF7">
      <w:pPr>
        <w:numPr>
          <w:ilvl w:val="0"/>
          <w:numId w:val="2"/>
        </w:numPr>
      </w:pPr>
      <w:r w:rsidRPr="004E7AF7">
        <w:t>Available in medium flow, low flow and high flow models:</w:t>
      </w:r>
    </w:p>
    <w:p w14:paraId="15290434" w14:textId="77777777" w:rsidR="004E7AF7" w:rsidRPr="004E7AF7" w:rsidRDefault="004E7AF7" w:rsidP="004E7AF7">
      <w:pPr>
        <w:numPr>
          <w:ilvl w:val="1"/>
          <w:numId w:val="2"/>
        </w:numPr>
      </w:pPr>
      <w:r w:rsidRPr="004E7AF7">
        <w:t>0.5 to 5.0 L/min</w:t>
      </w:r>
    </w:p>
    <w:p w14:paraId="6193009A" w14:textId="77777777" w:rsidR="004E7AF7" w:rsidRPr="004E7AF7" w:rsidRDefault="004E7AF7" w:rsidP="004E7AF7">
      <w:pPr>
        <w:numPr>
          <w:ilvl w:val="1"/>
          <w:numId w:val="2"/>
        </w:numPr>
      </w:pPr>
      <w:r w:rsidRPr="004E7AF7">
        <w:t>20 to 500 ml/min</w:t>
      </w:r>
    </w:p>
    <w:p w14:paraId="5F8AF93F" w14:textId="77777777" w:rsidR="004E7AF7" w:rsidRPr="004E7AF7" w:rsidRDefault="004E7AF7" w:rsidP="004E7AF7">
      <w:pPr>
        <w:numPr>
          <w:ilvl w:val="1"/>
          <w:numId w:val="2"/>
        </w:numPr>
      </w:pPr>
      <w:r w:rsidRPr="004E7AF7">
        <w:t>5.0 to 30.0 L/min</w:t>
      </w:r>
    </w:p>
    <w:p w14:paraId="7188D5E7" w14:textId="77777777" w:rsidR="004E7AF7" w:rsidRPr="004E7AF7" w:rsidRDefault="004E7AF7" w:rsidP="004E7AF7">
      <w:pPr>
        <w:numPr>
          <w:ilvl w:val="0"/>
          <w:numId w:val="2"/>
        </w:numPr>
      </w:pPr>
      <w:r w:rsidRPr="004E7AF7">
        <w:t>CalChek automatic flow calibration with specific SKC sample pumps (375-0550 and 375-50300 models only)</w:t>
      </w:r>
    </w:p>
    <w:p w14:paraId="0D9D3FA4" w14:textId="74F42BF6" w:rsidR="004E7AF7" w:rsidRDefault="004E7AF7" w:rsidP="004E7AF7">
      <w:r>
        <w:t>You can also choose from:</w:t>
      </w:r>
    </w:p>
    <w:p w14:paraId="0E99E957" w14:textId="7617AE38" w:rsidR="004E7AF7" w:rsidRDefault="004E7AF7" w:rsidP="004E7AF7">
      <w:hyperlink r:id="rId7" w:history="1">
        <w:r w:rsidRPr="004E7AF7">
          <w:rPr>
            <w:rStyle w:val="Hyperlink"/>
          </w:rPr>
          <w:t>Rotameters</w:t>
        </w:r>
      </w:hyperlink>
    </w:p>
    <w:p w14:paraId="76733E19" w14:textId="2FC58A01" w:rsidR="004E7AF7" w:rsidRDefault="004E7AF7" w:rsidP="004E7AF7">
      <w:hyperlink r:id="rId8" w:history="1">
        <w:r w:rsidRPr="004E7AF7">
          <w:rPr>
            <w:rStyle w:val="Hyperlink"/>
          </w:rPr>
          <w:t>Bubble Film Flowmeters</w:t>
        </w:r>
      </w:hyperlink>
    </w:p>
    <w:sectPr w:rsidR="004E7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7149"/>
    <w:multiLevelType w:val="multilevel"/>
    <w:tmpl w:val="7AEC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F1C29"/>
    <w:multiLevelType w:val="multilevel"/>
    <w:tmpl w:val="0860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253601">
    <w:abstractNumId w:val="0"/>
  </w:num>
  <w:num w:numId="2" w16cid:durableId="914120869">
    <w:abstractNumId w:val="1"/>
  </w:num>
  <w:num w:numId="3" w16cid:durableId="1501848104">
    <w:abstractNumId w:val="1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AF7"/>
    <w:rsid w:val="00236FC9"/>
    <w:rsid w:val="003A5B4C"/>
    <w:rsid w:val="003C1AF8"/>
    <w:rsid w:val="004E7AF7"/>
    <w:rsid w:val="006F639F"/>
    <w:rsid w:val="007D2D8F"/>
    <w:rsid w:val="00CB2DAB"/>
    <w:rsid w:val="00DA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3A26"/>
  <w15:chartTrackingRefBased/>
  <w15:docId w15:val="{DCEC8E34-54D4-4C31-817E-EB1EA648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A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A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A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A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A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7A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3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9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cltd.com/products2/calibration/bubble-film-flowmeter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cltd.com/products2/calibration/rotamete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cltd.com/products2/calibration/chek-mate-flowmeter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Adams [jo@skcltd.com]</dc:creator>
  <cp:keywords/>
  <dc:description/>
  <cp:lastModifiedBy>Jo Adams [jo@skcltd.com]</cp:lastModifiedBy>
  <cp:revision>2</cp:revision>
  <dcterms:created xsi:type="dcterms:W3CDTF">2025-09-19T08:00:00Z</dcterms:created>
  <dcterms:modified xsi:type="dcterms:W3CDTF">2025-09-19T08:00:00Z</dcterms:modified>
</cp:coreProperties>
</file>