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563" w14:textId="784055AC" w:rsidR="00CF41F0" w:rsidRPr="00E62527" w:rsidRDefault="00647698" w:rsidP="00CF41F0">
      <w:pPr>
        <w:rPr>
          <w:b/>
          <w:bCs/>
          <w:sz w:val="32"/>
          <w:szCs w:val="32"/>
        </w:rPr>
      </w:pPr>
      <w:r>
        <w:rPr>
          <w:noProof/>
        </w:rPr>
        <w:drawing>
          <wp:anchor distT="0" distB="0" distL="114300" distR="114300" simplePos="0" relativeHeight="251655680" behindDoc="1" locked="0" layoutInCell="1" allowOverlap="1" wp14:anchorId="3C5D0D83" wp14:editId="1BEF3824">
            <wp:simplePos x="0" y="0"/>
            <wp:positionH relativeFrom="margin">
              <wp:posOffset>4168140</wp:posOffset>
            </wp:positionH>
            <wp:positionV relativeFrom="paragraph">
              <wp:posOffset>251460</wp:posOffset>
            </wp:positionV>
            <wp:extent cx="1798320" cy="1798320"/>
            <wp:effectExtent l="0" t="0" r="0" b="0"/>
            <wp:wrapTight wrapText="bothSides">
              <wp:wrapPolygon edited="0">
                <wp:start x="0" y="0"/>
                <wp:lineTo x="0" y="21280"/>
                <wp:lineTo x="21280" y="21280"/>
                <wp:lineTo x="21280" y="0"/>
                <wp:lineTo x="0" y="0"/>
              </wp:wrapPolygon>
            </wp:wrapTight>
            <wp:docPr id="1237148950" name="Picture 1" descr="A person using a dri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48950" name="Picture 1" descr="A person using a drill&#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8320" cy="179832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6" w:history="1">
        <w:r w:rsidR="00CF41F0" w:rsidRPr="00E62527">
          <w:rPr>
            <w:rStyle w:val="Hyperlink"/>
            <w:b/>
            <w:bCs/>
            <w:sz w:val="32"/>
            <w:szCs w:val="32"/>
          </w:rPr>
          <w:t>HAV-Sentry</w:t>
        </w:r>
      </w:hyperlink>
      <w:r w:rsidR="00CF41F0">
        <w:rPr>
          <w:b/>
          <w:bCs/>
          <w:sz w:val="32"/>
          <w:szCs w:val="32"/>
        </w:rPr>
        <w:t xml:space="preserve"> Hand-Arm Vibration</w:t>
      </w:r>
    </w:p>
    <w:p w14:paraId="6017259B" w14:textId="0B32CA77" w:rsidR="00CF41F0" w:rsidRDefault="00CF41F0" w:rsidP="00CF41F0">
      <w:r w:rsidRPr="00E62527">
        <w:t xml:space="preserve">The HAV-Sentry system has been developed to provide real-time alerts based on personalised measurement of real-time hand-arm vibration exposure, preventing overexposure and driving the formation of robust control measures. </w:t>
      </w:r>
      <w:r>
        <w:br/>
      </w:r>
    </w:p>
    <w:p w14:paraId="730A9DDF" w14:textId="77777777" w:rsidR="00CF41F0" w:rsidRPr="00E62527" w:rsidRDefault="00CF41F0" w:rsidP="00CF41F0">
      <w:pPr>
        <w:numPr>
          <w:ilvl w:val="0"/>
          <w:numId w:val="1"/>
        </w:numPr>
      </w:pPr>
      <w:r w:rsidRPr="00E62527">
        <w:t>Vibration exposures are measured not estimated</w:t>
      </w:r>
    </w:p>
    <w:p w14:paraId="795769CC" w14:textId="77777777" w:rsidR="00CF41F0" w:rsidRPr="00E62527" w:rsidRDefault="00CF41F0" w:rsidP="00CF41F0">
      <w:pPr>
        <w:numPr>
          <w:ilvl w:val="0"/>
          <w:numId w:val="1"/>
        </w:numPr>
      </w:pPr>
      <w:r w:rsidRPr="00E62527">
        <w:t>Lightweight, breathable and comfortable liner - can be used underneath protection gloves if required</w:t>
      </w:r>
    </w:p>
    <w:p w14:paraId="2982A5A1" w14:textId="77777777" w:rsidR="00CF41F0" w:rsidRPr="00E62527" w:rsidRDefault="00CF41F0" w:rsidP="00CF41F0">
      <w:pPr>
        <w:numPr>
          <w:ilvl w:val="0"/>
          <w:numId w:val="1"/>
        </w:numPr>
      </w:pPr>
      <w:r w:rsidRPr="00E62527">
        <w:t>Personalised and non-intrusive monitoring - no tool tags or wires</w:t>
      </w:r>
    </w:p>
    <w:p w14:paraId="1418E855" w14:textId="77777777" w:rsidR="00CF41F0" w:rsidRPr="00E62527" w:rsidRDefault="00CF41F0" w:rsidP="00CF41F0">
      <w:pPr>
        <w:numPr>
          <w:ilvl w:val="0"/>
          <w:numId w:val="1"/>
        </w:numPr>
      </w:pPr>
      <w:r w:rsidRPr="00E62527">
        <w:t>Accelerometer and force sensor for a more comprehensive risk assessment</w:t>
      </w:r>
    </w:p>
    <w:p w14:paraId="1A95CC5D" w14:textId="77777777" w:rsidR="00CF41F0" w:rsidRPr="00E62527" w:rsidRDefault="00CF41F0" w:rsidP="00CF41F0">
      <w:pPr>
        <w:numPr>
          <w:ilvl w:val="0"/>
          <w:numId w:val="1"/>
        </w:numPr>
      </w:pPr>
      <w:r w:rsidRPr="00E62527">
        <w:t>IP64 protection - dust-proof and water-resistant</w:t>
      </w:r>
    </w:p>
    <w:p w14:paraId="7FCDCA32" w14:textId="77777777" w:rsidR="00CF41F0" w:rsidRPr="00E62527" w:rsidRDefault="00CF41F0" w:rsidP="00CF41F0">
      <w:pPr>
        <w:numPr>
          <w:ilvl w:val="0"/>
          <w:numId w:val="1"/>
        </w:numPr>
      </w:pPr>
      <w:r w:rsidRPr="00E62527">
        <w:t>Unique incremental live alerts based on real-time data</w:t>
      </w:r>
    </w:p>
    <w:p w14:paraId="14D2EC22" w14:textId="77777777" w:rsidR="00CF41F0" w:rsidRPr="00E62527" w:rsidRDefault="00CF41F0" w:rsidP="00CF41F0">
      <w:pPr>
        <w:numPr>
          <w:ilvl w:val="0"/>
          <w:numId w:val="1"/>
        </w:numPr>
      </w:pPr>
      <w:r w:rsidRPr="00E62527">
        <w:t>Complies with BS ISO 5349 and BS ISO 8041</w:t>
      </w:r>
    </w:p>
    <w:p w14:paraId="7AB99383" w14:textId="00CA8CE4" w:rsidR="00CF41F0" w:rsidRPr="00E62527" w:rsidRDefault="00CF41F0" w:rsidP="00CF41F0">
      <w:pPr>
        <w:numPr>
          <w:ilvl w:val="0"/>
          <w:numId w:val="1"/>
        </w:numPr>
      </w:pPr>
      <w:r w:rsidRPr="00E62527">
        <w:t>Secure cloud storage of data</w:t>
      </w:r>
      <w:r w:rsidR="000908C2">
        <w:br/>
      </w:r>
      <w:r w:rsidR="000908C2">
        <w:br/>
      </w:r>
    </w:p>
    <w:p w14:paraId="3363CBCA" w14:textId="77777777" w:rsidR="006F639F" w:rsidRDefault="006F639F"/>
    <w:p w14:paraId="11C61174" w14:textId="300A59DB" w:rsidR="00CF41F0" w:rsidRPr="00CF41F0" w:rsidRDefault="00CF41F0" w:rsidP="00CF41F0">
      <w:pPr>
        <w:rPr>
          <w:b/>
          <w:bCs/>
          <w:sz w:val="32"/>
          <w:szCs w:val="32"/>
        </w:rPr>
      </w:pPr>
      <w:hyperlink r:id="rId7" w:history="1">
        <w:r w:rsidRPr="00CF41F0">
          <w:rPr>
            <w:rStyle w:val="Hyperlink"/>
            <w:b/>
            <w:bCs/>
            <w:sz w:val="32"/>
            <w:szCs w:val="32"/>
          </w:rPr>
          <w:t>Noise Monitoring</w:t>
        </w:r>
      </w:hyperlink>
    </w:p>
    <w:p w14:paraId="59E1D928" w14:textId="1825F6CF" w:rsidR="00CF41F0" w:rsidRDefault="00CF41F0">
      <w:r>
        <w:rPr>
          <w:noProof/>
        </w:rPr>
        <w:drawing>
          <wp:anchor distT="0" distB="0" distL="114300" distR="114300" simplePos="0" relativeHeight="251659776" behindDoc="1" locked="0" layoutInCell="1" allowOverlap="1" wp14:anchorId="48A7BFD3" wp14:editId="74EE7DEB">
            <wp:simplePos x="0" y="0"/>
            <wp:positionH relativeFrom="column">
              <wp:posOffset>0</wp:posOffset>
            </wp:positionH>
            <wp:positionV relativeFrom="paragraph">
              <wp:posOffset>6350</wp:posOffset>
            </wp:positionV>
            <wp:extent cx="1737360" cy="2895600"/>
            <wp:effectExtent l="0" t="0" r="0" b="0"/>
            <wp:wrapTight wrapText="bothSides">
              <wp:wrapPolygon edited="0">
                <wp:start x="0" y="0"/>
                <wp:lineTo x="0" y="21458"/>
                <wp:lineTo x="21316" y="21458"/>
                <wp:lineTo x="21316" y="0"/>
                <wp:lineTo x="0" y="0"/>
              </wp:wrapPolygon>
            </wp:wrapTight>
            <wp:docPr id="1709978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360" cy="2895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41F0">
        <w:t>The noise levels in the UK are governed by The Control of Noise at Work Regulations 2005. Only by checking noise levels can you ensure the levels are within the set guidelines and that workers are protected from risk of hearing damage at their place of work. Over 1 million employees in Great Britain are exposed to levels of noise that puts their hearing at risk. Of these upwards of 17,000 people suffer deafness, ringing in the ears or other ear conditions caused by excessive noise at work.</w:t>
      </w:r>
    </w:p>
    <w:p w14:paraId="20D7FCBE" w14:textId="6F4B66F3" w:rsidR="00CF41F0" w:rsidRDefault="00CF41F0">
      <w:r>
        <w:t>SKC can provide the following equipment for all your Noise monitoring needs:</w:t>
      </w:r>
    </w:p>
    <w:p w14:paraId="7DB05122" w14:textId="073579C0" w:rsidR="00CF41F0" w:rsidRDefault="00CF41F0" w:rsidP="00CF41F0">
      <w:pPr>
        <w:pStyle w:val="ListParagraph"/>
        <w:numPr>
          <w:ilvl w:val="0"/>
          <w:numId w:val="2"/>
        </w:numPr>
      </w:pPr>
      <w:hyperlink r:id="rId9" w:history="1">
        <w:r w:rsidRPr="00CF41F0">
          <w:rPr>
            <w:rStyle w:val="Hyperlink"/>
          </w:rPr>
          <w:t>NoiseCHEK Dosimeter</w:t>
        </w:r>
      </w:hyperlink>
    </w:p>
    <w:p w14:paraId="163B32E4" w14:textId="41FDF03E" w:rsidR="00CF41F0" w:rsidRDefault="00CF41F0" w:rsidP="00CF41F0">
      <w:pPr>
        <w:pStyle w:val="ListParagraph"/>
        <w:numPr>
          <w:ilvl w:val="0"/>
          <w:numId w:val="2"/>
        </w:numPr>
      </w:pPr>
      <w:hyperlink r:id="rId10" w:history="1">
        <w:r w:rsidRPr="00CF41F0">
          <w:rPr>
            <w:rStyle w:val="Hyperlink"/>
          </w:rPr>
          <w:t>SoundCHEK Essential Sound Level Meter</w:t>
        </w:r>
      </w:hyperlink>
    </w:p>
    <w:p w14:paraId="42E918FD" w14:textId="661D895F" w:rsidR="00CF41F0" w:rsidRDefault="00CF41F0" w:rsidP="00CF41F0">
      <w:pPr>
        <w:pStyle w:val="ListParagraph"/>
        <w:numPr>
          <w:ilvl w:val="0"/>
          <w:numId w:val="2"/>
        </w:numPr>
      </w:pPr>
      <w:hyperlink r:id="rId11" w:history="1">
        <w:r w:rsidRPr="00CF41F0">
          <w:rPr>
            <w:rStyle w:val="Hyperlink"/>
          </w:rPr>
          <w:t>SoundCHEK Connect Sound Level Meter</w:t>
        </w:r>
      </w:hyperlink>
    </w:p>
    <w:p w14:paraId="35C4AD90" w14:textId="008BAA9B" w:rsidR="00CF41F0" w:rsidRDefault="00CF41F0" w:rsidP="00CF41F0">
      <w:pPr>
        <w:pStyle w:val="ListParagraph"/>
        <w:numPr>
          <w:ilvl w:val="0"/>
          <w:numId w:val="2"/>
        </w:numPr>
      </w:pPr>
      <w:hyperlink r:id="rId12" w:history="1">
        <w:r w:rsidRPr="00CF41F0">
          <w:rPr>
            <w:rStyle w:val="Hyperlink"/>
          </w:rPr>
          <w:t>AcoustiCHEK Acoustic Calibrator</w:t>
        </w:r>
      </w:hyperlink>
    </w:p>
    <w:sectPr w:rsidR="00CF41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14C8A"/>
    <w:multiLevelType w:val="multilevel"/>
    <w:tmpl w:val="0D84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B97FF1"/>
    <w:multiLevelType w:val="hybridMultilevel"/>
    <w:tmpl w:val="3C9A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250212">
    <w:abstractNumId w:val="0"/>
  </w:num>
  <w:num w:numId="2" w16cid:durableId="1402408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F0"/>
    <w:rsid w:val="000908C2"/>
    <w:rsid w:val="003031F1"/>
    <w:rsid w:val="005D6AB3"/>
    <w:rsid w:val="00647698"/>
    <w:rsid w:val="006F639F"/>
    <w:rsid w:val="007D2D8F"/>
    <w:rsid w:val="00CB2DAB"/>
    <w:rsid w:val="00CF41F0"/>
    <w:rsid w:val="00DA0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C1D9"/>
  <w15:chartTrackingRefBased/>
  <w15:docId w15:val="{0F3AF0FC-AA13-4F20-AC92-1E9EB2C2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1F0"/>
  </w:style>
  <w:style w:type="paragraph" w:styleId="Heading1">
    <w:name w:val="heading 1"/>
    <w:basedOn w:val="Normal"/>
    <w:next w:val="Normal"/>
    <w:link w:val="Heading1Char"/>
    <w:uiPriority w:val="9"/>
    <w:qFormat/>
    <w:rsid w:val="00CF4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1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1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1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1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1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1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1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1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1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1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1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1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1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1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1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1F0"/>
    <w:rPr>
      <w:rFonts w:eastAsiaTheme="majorEastAsia" w:cstheme="majorBidi"/>
      <w:color w:val="272727" w:themeColor="text1" w:themeTint="D8"/>
    </w:rPr>
  </w:style>
  <w:style w:type="paragraph" w:styleId="Title">
    <w:name w:val="Title"/>
    <w:basedOn w:val="Normal"/>
    <w:next w:val="Normal"/>
    <w:link w:val="TitleChar"/>
    <w:uiPriority w:val="10"/>
    <w:qFormat/>
    <w:rsid w:val="00CF4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1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1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1F0"/>
    <w:pPr>
      <w:spacing w:before="160"/>
      <w:jc w:val="center"/>
    </w:pPr>
    <w:rPr>
      <w:i/>
      <w:iCs/>
      <w:color w:val="404040" w:themeColor="text1" w:themeTint="BF"/>
    </w:rPr>
  </w:style>
  <w:style w:type="character" w:customStyle="1" w:styleId="QuoteChar">
    <w:name w:val="Quote Char"/>
    <w:basedOn w:val="DefaultParagraphFont"/>
    <w:link w:val="Quote"/>
    <w:uiPriority w:val="29"/>
    <w:rsid w:val="00CF41F0"/>
    <w:rPr>
      <w:i/>
      <w:iCs/>
      <w:color w:val="404040" w:themeColor="text1" w:themeTint="BF"/>
    </w:rPr>
  </w:style>
  <w:style w:type="paragraph" w:styleId="ListParagraph">
    <w:name w:val="List Paragraph"/>
    <w:basedOn w:val="Normal"/>
    <w:uiPriority w:val="34"/>
    <w:qFormat/>
    <w:rsid w:val="00CF41F0"/>
    <w:pPr>
      <w:ind w:left="720"/>
      <w:contextualSpacing/>
    </w:pPr>
  </w:style>
  <w:style w:type="character" w:styleId="IntenseEmphasis">
    <w:name w:val="Intense Emphasis"/>
    <w:basedOn w:val="DefaultParagraphFont"/>
    <w:uiPriority w:val="21"/>
    <w:qFormat/>
    <w:rsid w:val="00CF41F0"/>
    <w:rPr>
      <w:i/>
      <w:iCs/>
      <w:color w:val="0F4761" w:themeColor="accent1" w:themeShade="BF"/>
    </w:rPr>
  </w:style>
  <w:style w:type="paragraph" w:styleId="IntenseQuote">
    <w:name w:val="Intense Quote"/>
    <w:basedOn w:val="Normal"/>
    <w:next w:val="Normal"/>
    <w:link w:val="IntenseQuoteChar"/>
    <w:uiPriority w:val="30"/>
    <w:qFormat/>
    <w:rsid w:val="00CF4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1F0"/>
    <w:rPr>
      <w:i/>
      <w:iCs/>
      <w:color w:val="0F4761" w:themeColor="accent1" w:themeShade="BF"/>
    </w:rPr>
  </w:style>
  <w:style w:type="character" w:styleId="IntenseReference">
    <w:name w:val="Intense Reference"/>
    <w:basedOn w:val="DefaultParagraphFont"/>
    <w:uiPriority w:val="32"/>
    <w:qFormat/>
    <w:rsid w:val="00CF41F0"/>
    <w:rPr>
      <w:b/>
      <w:bCs/>
      <w:smallCaps/>
      <w:color w:val="0F4761" w:themeColor="accent1" w:themeShade="BF"/>
      <w:spacing w:val="5"/>
    </w:rPr>
  </w:style>
  <w:style w:type="character" w:styleId="Hyperlink">
    <w:name w:val="Hyperlink"/>
    <w:basedOn w:val="DefaultParagraphFont"/>
    <w:uiPriority w:val="99"/>
    <w:unhideWhenUsed/>
    <w:rsid w:val="00CF41F0"/>
    <w:rPr>
      <w:color w:val="467886" w:themeColor="hyperlink"/>
      <w:u w:val="single"/>
    </w:rPr>
  </w:style>
  <w:style w:type="character" w:styleId="UnresolvedMention">
    <w:name w:val="Unresolved Mention"/>
    <w:basedOn w:val="DefaultParagraphFont"/>
    <w:uiPriority w:val="99"/>
    <w:semiHidden/>
    <w:unhideWhenUsed/>
    <w:rsid w:val="00CF4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8091">
      <w:bodyDiv w:val="1"/>
      <w:marLeft w:val="0"/>
      <w:marRight w:val="0"/>
      <w:marTop w:val="0"/>
      <w:marBottom w:val="0"/>
      <w:divBdr>
        <w:top w:val="none" w:sz="0" w:space="0" w:color="auto"/>
        <w:left w:val="none" w:sz="0" w:space="0" w:color="auto"/>
        <w:bottom w:val="none" w:sz="0" w:space="0" w:color="auto"/>
        <w:right w:val="none" w:sz="0" w:space="0" w:color="auto"/>
      </w:divBdr>
    </w:div>
    <w:div w:id="191169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cltd.com/noise-monitoring.html" TargetMode="External"/><Relationship Id="rId12" Type="http://schemas.openxmlformats.org/officeDocument/2006/relationships/hyperlink" Target="https://www.skcltd.com/products2/noise-monitoring/acoustichek-acoustic-calibrato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cltd.com/vibration-monitoring.html" TargetMode="External"/><Relationship Id="rId11" Type="http://schemas.openxmlformats.org/officeDocument/2006/relationships/hyperlink" Target="https://www.skcltd.com/products2/noise-monitoring/soundchek-connect.html" TargetMode="External"/><Relationship Id="rId5" Type="http://schemas.openxmlformats.org/officeDocument/2006/relationships/image" Target="media/image1.png"/><Relationship Id="rId10" Type="http://schemas.openxmlformats.org/officeDocument/2006/relationships/hyperlink" Target="https://www.skcltd.com/products2/noise-monitoring/soundchek-essential.html" TargetMode="External"/><Relationship Id="rId4" Type="http://schemas.openxmlformats.org/officeDocument/2006/relationships/webSettings" Target="webSettings.xml"/><Relationship Id="rId9" Type="http://schemas.openxmlformats.org/officeDocument/2006/relationships/hyperlink" Target="https://www.skcltd.com/products2/noise-monitoring/noisechek-dosimeter.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Adams [jo@skcltd.com]</dc:creator>
  <cp:keywords/>
  <dc:description/>
  <cp:lastModifiedBy>Jo Adams [jo@skcltd.com]</cp:lastModifiedBy>
  <cp:revision>2</cp:revision>
  <cp:lastPrinted>2025-06-03T09:38:00Z</cp:lastPrinted>
  <dcterms:created xsi:type="dcterms:W3CDTF">2025-09-19T08:04:00Z</dcterms:created>
  <dcterms:modified xsi:type="dcterms:W3CDTF">2025-09-19T08:04:00Z</dcterms:modified>
</cp:coreProperties>
</file>